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4D7197">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4D7197">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4D7197">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4D7197">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4D7197">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4D7197">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4D7197">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4D7197">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4D7197">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4D7197">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4D7197">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4D7197">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4D7197">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4D7197">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4D7197">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4D7197">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4D7197">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4D7197">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4D7197">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4D7197">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4D7197">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4D7197">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4D7197">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4D7197">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4D7197"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4D7197">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4D7197">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4D7197">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4D7197">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4D7197">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4D7197">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4D7197">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4D7197">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4D7197">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4D7197">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4D7197">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4D7197">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4D7197">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4D7197">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4D7197">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4D7197">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4D7197">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4D7197">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4D7197">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4D7197">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4D7197">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4D7197">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4D7197">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4D7197">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4D7197">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4D7197">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4D7197">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4D7197">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4D7197">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4D7197">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4D7197">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4D7197">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4D7197">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4D7197">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4D7197">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4D7197">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4D7197">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4D7197">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4D7197">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4D7197">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4D7197">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4D7197">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4D7197">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4D7197">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4D7197">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4D7197">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4D7197">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6CC53374"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Plisga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lastRenderedPageBreak/>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 Seja o realce de descontinuidades, de refletores ou um aprimoramento da razão sinal-ruído, entre outros (Bahorich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sub-sísmicas, ainda que fraturais nesta escala não influenciem significativamente modelos volumétricos (</w:t>
      </w:r>
      <w:r w:rsidR="006D5136" w:rsidRPr="00A62B7C">
        <w:rPr>
          <w:rFonts w:ascii="Arial" w:hAnsi="Arial" w:cs="Arial"/>
          <w:sz w:val="24"/>
          <w:szCs w:val="24"/>
        </w:rPr>
        <w:t>Ringrose &amp; Bentley, 2014c</w:t>
      </w:r>
      <w:r w:rsidR="006D5136">
        <w:rPr>
          <w:rFonts w:ascii="Arial" w:hAnsi="Arial" w:cs="Arial"/>
          <w:sz w:val="24"/>
          <w:szCs w:val="24"/>
        </w:rPr>
        <w:t>)</w:t>
      </w:r>
      <w:r w:rsidR="00D22610">
        <w:rPr>
          <w:rFonts w:ascii="Arial" w:hAnsi="Arial" w:cs="Arial"/>
          <w:sz w:val="24"/>
          <w:szCs w:val="24"/>
        </w:rPr>
        <w:t>. Ao mesmo tempo, altos valores para o atributo de ant-tracking são associados a altos graus de fraturamento em testemunho (Fang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s interpretativo associado ao processo (Cox &amp; Seitz,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ant-tracking. Ao mesmo tempo, outros autores sugerem a utilização de filtros de suavização estrutural previamente ao cálculo do atributo de variância à fim </w:t>
      </w:r>
      <w:r w:rsidR="00BE5AE3" w:rsidRPr="00BE5AE3">
        <w:rPr>
          <w:rFonts w:ascii="Arial" w:hAnsi="Arial" w:cs="Arial"/>
          <w:sz w:val="24"/>
          <w:szCs w:val="24"/>
        </w:rPr>
        <w:lastRenderedPageBreak/>
        <w:t>de reduzir os efeitos de ruídos nas estruturas caracterizadas (Randen et al., 2001; Zhao et al., 2015; Basir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(Taner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(Al-Mudhafar et al., 2015; Aragão &amp; Sava,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 xml:space="preserve">Mapas Auto-Organizáveis e K-Means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K-Means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net-to-gross</w:t>
      </w:r>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(Viroli &amp; McLachlan, 2019). Como o cálculo de volumes, objetivo final deste estudo, passa pela estimativa da razão Net-to-Gross, também medida entre 0 e 1 (Egbele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lastRenderedPageBreak/>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intra-poço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5BD5ADD8" w14:textId="58188F75" w:rsidR="004A595F"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todos fornecidos pela Agência Nacional de Petróleo – ANP.</w:t>
      </w:r>
      <w:bookmarkEnd w:id="4"/>
    </w:p>
    <w:p w14:paraId="4144678D" w14:textId="78456336" w:rsidR="00A97B61" w:rsidRDefault="00A97B61" w:rsidP="00806449">
      <w:pPr>
        <w:spacing w:line="360" w:lineRule="auto"/>
        <w:ind w:firstLine="360"/>
        <w:jc w:val="both"/>
        <w:rPr>
          <w:rFonts w:ascii="Arial" w:hAnsi="Arial" w:cs="Arial"/>
          <w:sz w:val="24"/>
          <w:szCs w:val="24"/>
        </w:rPr>
      </w:pPr>
    </w:p>
    <w:p w14:paraId="18FC0A67" w14:textId="1827C798" w:rsidR="00A97B61" w:rsidRDefault="00A97B61" w:rsidP="00806449">
      <w:pPr>
        <w:spacing w:line="360" w:lineRule="auto"/>
        <w:ind w:firstLine="360"/>
        <w:jc w:val="both"/>
        <w:rPr>
          <w:rFonts w:ascii="Arial" w:hAnsi="Arial" w:cs="Arial"/>
          <w:sz w:val="24"/>
          <w:szCs w:val="24"/>
        </w:rPr>
      </w:pPr>
    </w:p>
    <w:p w14:paraId="4920D235" w14:textId="0B2D19BE" w:rsidR="00A97B61" w:rsidRDefault="00A97B61"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r w:rsidR="00831A57" w:rsidRPr="00831A57">
        <w:rPr>
          <w:rFonts w:ascii="Arial" w:hAnsi="Arial" w:cs="Arial"/>
          <w:i/>
          <w:iCs/>
          <w:sz w:val="24"/>
          <w:szCs w:val="24"/>
        </w:rPr>
        <w:t>segy</w:t>
      </w:r>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4D7197"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r w:rsidR="001419C4" w:rsidRPr="00F91027">
        <w:rPr>
          <w:rFonts w:ascii="Arial" w:hAnsi="Arial" w:cs="Arial"/>
          <w:i/>
          <w:sz w:val="24"/>
          <w:szCs w:val="24"/>
        </w:rPr>
        <w:t>Phi</w:t>
      </w:r>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r w:rsidRPr="00C06E26">
        <w:rPr>
          <w:rFonts w:ascii="Arial" w:hAnsi="Arial" w:cs="Arial"/>
          <w:i/>
          <w:sz w:val="24"/>
          <w:szCs w:val="24"/>
        </w:rPr>
        <w:t>ant-tracking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4D7197"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(Godfrey &amp; Bachrach,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r w:rsidR="00D22610">
        <w:rPr>
          <w:rFonts w:ascii="Arial" w:hAnsi="Arial" w:cs="Arial"/>
          <w:sz w:val="24"/>
          <w:szCs w:val="24"/>
        </w:rPr>
        <w:t>discretizadas</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4D7197" w:rsidRPr="00075389" w:rsidRDefault="004D7197"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4D7197" w:rsidRPr="00075389" w:rsidRDefault="004D7197"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0947C482" w:rsidR="000223BA" w:rsidRDefault="000223BA" w:rsidP="000223BA">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7B3E5E" w14:textId="77777777" w:rsidR="00D7096C" w:rsidRPr="00D7096C" w:rsidRDefault="00D7096C" w:rsidP="00D7096C"/>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3F6B886E"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lastRenderedPageBreak/>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5F01E5C5" w14:textId="6DC03AFA" w:rsidR="007D4D71" w:rsidRPr="00A07592" w:rsidRDefault="0099276E" w:rsidP="00A07592">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Krigagem podem ser definidas por estimativas de valores em um volume embasadas numa ponderação de todas as amostras, tendo que o peso </w:t>
      </w:r>
      <w:r>
        <w:rPr>
          <w:rFonts w:ascii="Arial" w:hAnsi="Arial" w:cs="Arial"/>
          <w:sz w:val="24"/>
          <w:szCs w:val="24"/>
        </w:rPr>
        <w:lastRenderedPageBreak/>
        <w:t>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4D7197"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r w:rsidR="00403851">
        <w:rPr>
          <w:rFonts w:ascii="Arial" w:hAnsi="Arial" w:cs="Arial"/>
          <w:sz w:val="24"/>
          <w:szCs w:val="24"/>
        </w:rPr>
        <w:t xml:space="preserve">Hengl et al., 2007: </w:t>
      </w:r>
      <w:r w:rsidR="009E6BB7">
        <w:rPr>
          <w:rFonts w:ascii="Arial" w:hAnsi="Arial" w:cs="Arial"/>
          <w:sz w:val="24"/>
          <w:szCs w:val="24"/>
        </w:rPr>
        <w:t>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14A15AD3" w14:textId="42B0542C"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(Gaussian Random Function Simulation - GRFS) incorpora algoritmos de KDE com simulações estocásticas no campo não estruturado dos variogramas,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6C709A0E" w14:textId="672BA500"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&amp; 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 xml:space="preserve">Para dados não distribuídos de forma normal, uma transformação prévia para normalizar os dados e uma transformação posterior para a distribuição original se mostra necessária. </w:t>
      </w:r>
      <w:r w:rsidR="0080642F">
        <w:rPr>
          <w:rFonts w:ascii="Arial" w:hAnsi="Arial" w:cs="Arial"/>
          <w:sz w:val="24"/>
          <w:szCs w:val="24"/>
        </w:rPr>
        <w:t xml:space="preserve">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w:t>
      </w:r>
      <w:r w:rsidR="00C4103C">
        <w:rPr>
          <w:rFonts w:ascii="Arial" w:hAnsi="Arial" w:cs="Arial"/>
          <w:sz w:val="24"/>
          <w:szCs w:val="24"/>
        </w:rPr>
        <w:t>também</w:t>
      </w:r>
      <w:r w:rsidR="0080642F">
        <w:rPr>
          <w:rFonts w:ascii="Arial" w:hAnsi="Arial" w:cs="Arial"/>
          <w:sz w:val="24"/>
          <w:szCs w:val="24"/>
        </w:rPr>
        <w:t xml:space="preserv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para as regiões onde aplica-se o KDE</w:t>
      </w:r>
      <w:r w:rsidR="00420BBE">
        <w:rPr>
          <w:rFonts w:ascii="Arial" w:hAnsi="Arial" w:cs="Arial"/>
          <w:sz w:val="24"/>
          <w:szCs w:val="24"/>
        </w:rPr>
        <w:t xml:space="preserve">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lastRenderedPageBreak/>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5B95D6B0"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de hidrocarbonetos </w:t>
      </w:r>
      <w:r w:rsidR="00C4103C">
        <w:rPr>
          <w:rFonts w:ascii="Arial" w:hAnsi="Arial" w:cs="Arial"/>
          <w:sz w:val="24"/>
          <w:szCs w:val="24"/>
        </w:rPr>
        <w:t xml:space="preserve">em espaço poroso </w:t>
      </w:r>
      <w:r>
        <w:rPr>
          <w:rFonts w:ascii="Arial" w:hAnsi="Arial" w:cs="Arial"/>
          <w:sz w:val="24"/>
          <w:szCs w:val="24"/>
        </w:rPr>
        <w:t>(</w:t>
      </w:r>
      <w:r w:rsidRPr="00422C09">
        <w:rPr>
          <w:rFonts w:ascii="Arial" w:hAnsi="Arial" w:cs="Arial"/>
          <w:i/>
          <w:sz w:val="24"/>
          <w:szCs w:val="24"/>
        </w:rPr>
        <w:t>Hydrocarbon Pore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2AFC3BFF" w14:textId="29967297"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r w:rsidRPr="0041224B">
        <w:rPr>
          <w:rFonts w:ascii="Arial" w:eastAsia="Times New Roman" w:hAnsi="Arial" w:cs="Arial"/>
          <w:b/>
          <w:sz w:val="24"/>
          <w:szCs w:val="24"/>
        </w:rPr>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w:t>
      </w:r>
      <w:r w:rsidRPr="00B17B53">
        <w:rPr>
          <w:rFonts w:ascii="Arial" w:eastAsia="Times New Roman" w:hAnsi="Arial" w:cs="Arial"/>
          <w:sz w:val="24"/>
          <w:szCs w:val="24"/>
        </w:rPr>
        <w:lastRenderedPageBreak/>
        <w:t>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4D7197"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2C95C9CA" w14:textId="77777777" w:rsidR="00CE7B94" w:rsidRDefault="00CE7B94" w:rsidP="003F4D44">
      <w:pPr>
        <w:spacing w:before="240" w:line="360" w:lineRule="auto"/>
        <w:jc w:val="both"/>
        <w:rPr>
          <w:rFonts w:ascii="Arial" w:eastAsia="Times New Roman" w:hAnsi="Arial" w:cs="Arial"/>
          <w:sz w:val="24"/>
          <w:szCs w:val="24"/>
        </w:rPr>
      </w:pPr>
    </w:p>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p w14:paraId="3C78C0D3" w14:textId="77777777" w:rsidR="00CE7B94" w:rsidRDefault="00CE7B94" w:rsidP="003F4D44">
      <w:pPr>
        <w:spacing w:before="240" w:line="360" w:lineRule="auto"/>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4FC999E9" w14:textId="77777777" w:rsidR="00CE7B94" w:rsidRDefault="00CE7B94" w:rsidP="003F4D44">
      <w:pPr>
        <w:spacing w:before="240" w:line="360" w:lineRule="auto"/>
        <w:jc w:val="both"/>
        <w:rPr>
          <w:rFonts w:ascii="Arial" w:eastAsia="Times New Roman" w:hAnsi="Arial" w:cs="Arial"/>
          <w:sz w:val="24"/>
          <w:szCs w:val="24"/>
        </w:rPr>
      </w:pPr>
    </w:p>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4D7197"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36BB459B" w14:textId="77777777" w:rsidR="00CE7B94" w:rsidRDefault="00CE7B94" w:rsidP="00E86D88">
      <w:pPr>
        <w:spacing w:before="240" w:line="360" w:lineRule="auto"/>
        <w:ind w:firstLine="708"/>
        <w:jc w:val="both"/>
        <w:rPr>
          <w:rFonts w:eastAsiaTheme="minorEastAsia"/>
          <w:sz w:val="24"/>
          <w:szCs w:val="24"/>
        </w:rPr>
      </w:pPr>
    </w:p>
    <w:p w14:paraId="168362A5" w14:textId="0422664D" w:rsidR="00E86D88" w:rsidRDefault="004D7197"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w:t>
      </w:r>
      <w:r w:rsidR="005B07B4">
        <w:rPr>
          <w:rFonts w:ascii="Arial" w:eastAsia="Times New Roman" w:hAnsi="Arial" w:cs="Arial"/>
          <w:sz w:val="24"/>
          <w:szCs w:val="24"/>
        </w:rPr>
        <w:lastRenderedPageBreak/>
        <w:t xml:space="preserve">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Sönico,</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(Saaturação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w:t>
      </w:r>
      <w:r w:rsidR="00D7096C">
        <w:rPr>
          <w:rFonts w:ascii="Arial" w:eastAsia="Times New Roman" w:hAnsi="Arial" w:cs="Arial"/>
          <w:sz w:val="24"/>
          <w:szCs w:val="24"/>
        </w:rPr>
        <w:t xml:space="preserve"> open source</w:t>
      </w:r>
      <w:r w:rsidR="00BF086F">
        <w:rPr>
          <w:rFonts w:ascii="Arial" w:eastAsia="Times New Roman" w:hAnsi="Arial" w:cs="Arial"/>
          <w:sz w:val="24"/>
          <w:szCs w:val="24"/>
        </w:rPr>
        <w:t xml:space="preserve">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K-Means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Scikit-Learn (Pedregosa et al., 2011)</w:t>
      </w:r>
      <w:r w:rsidR="00024484">
        <w:rPr>
          <w:rFonts w:ascii="Arial" w:eastAsia="Times New Roman" w:hAnsi="Arial" w:cs="Arial"/>
          <w:sz w:val="24"/>
          <w:szCs w:val="24"/>
        </w:rPr>
        <w:t>, fonte do algoritmo de K-Means</w:t>
      </w:r>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60D9FD50" w14:textId="05EBF974" w:rsidR="005B07B4" w:rsidRPr="00B17B53"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 xml:space="preserve">pontos de natureza ambígua (Raykov et al., </w:t>
      </w:r>
      <w:r w:rsidR="002D6D65" w:rsidRPr="00B17B53">
        <w:rPr>
          <w:rFonts w:ascii="Arial" w:eastAsia="Times New Roman" w:hAnsi="Arial" w:cs="Arial"/>
          <w:sz w:val="24"/>
          <w:szCs w:val="24"/>
        </w:rPr>
        <w:lastRenderedPageBreak/>
        <w:t>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4DF2A63D" w14:textId="16A66D9C" w:rsidR="00E43E60" w:rsidRDefault="00E43E60" w:rsidP="00E86D88">
      <w:pPr>
        <w:spacing w:before="240" w:line="360" w:lineRule="auto"/>
        <w:jc w:val="both"/>
        <w:rPr>
          <w:rFonts w:ascii="Arial" w:eastAsia="Times New Roman" w:hAnsi="Arial" w:cs="Arial"/>
          <w:sz w:val="24"/>
          <w:szCs w:val="24"/>
        </w:rPr>
      </w:pPr>
    </w:p>
    <w:p w14:paraId="73F37172" w14:textId="1CBBB08C" w:rsidR="00CE7B94" w:rsidRDefault="00CE7B94" w:rsidP="00E86D88">
      <w:pPr>
        <w:spacing w:before="240" w:line="360" w:lineRule="auto"/>
        <w:jc w:val="both"/>
        <w:rPr>
          <w:rFonts w:ascii="Arial" w:eastAsia="Times New Roman" w:hAnsi="Arial" w:cs="Arial"/>
          <w:sz w:val="24"/>
          <w:szCs w:val="24"/>
        </w:rPr>
      </w:pPr>
    </w:p>
    <w:p w14:paraId="1D2B49E6" w14:textId="316D1B4D" w:rsidR="00CE7B94" w:rsidRDefault="00CE7B94" w:rsidP="00E86D88">
      <w:pPr>
        <w:spacing w:before="240" w:line="360" w:lineRule="auto"/>
        <w:jc w:val="both"/>
        <w:rPr>
          <w:rFonts w:ascii="Arial" w:eastAsia="Times New Roman" w:hAnsi="Arial" w:cs="Arial"/>
          <w:sz w:val="24"/>
          <w:szCs w:val="24"/>
        </w:rPr>
      </w:pPr>
    </w:p>
    <w:p w14:paraId="41BD391B" w14:textId="77777777" w:rsidR="006A4FF5" w:rsidRDefault="006A4FF5"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Ant-Tracking e Latitudes e tão pouco é possível observar valores de Ant-Tracking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r w:rsidR="00476EA3" w:rsidRPr="00476EA3">
        <w:rPr>
          <w:rFonts w:ascii="Arial" w:hAnsi="Arial" w:cs="Arial"/>
          <w:sz w:val="24"/>
          <w:szCs w:val="24"/>
        </w:rPr>
        <w:t xml:space="preserve">ant-tracking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Bachrach,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de altos valores de Ant-Tracking.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ant-tracking ocorrem primariamente associadas a feições lineares de grande escala enquanto na Zona Sul estes valores ocorrem de maneira disseminada ao longo do volume. O valor médio de ant-tracking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Os resultados obtidos corroboram com as observações de Tomaso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w:t>
      </w:r>
      <w:r w:rsidR="0045548B">
        <w:rPr>
          <w:rFonts w:ascii="Arial" w:hAnsi="Arial" w:cs="Arial"/>
          <w:sz w:val="24"/>
          <w:szCs w:val="24"/>
        </w:rPr>
        <w:t xml:space="preserve">Observa-se ainda que ao assumir diferentes cut-offs mínimos de ant-tracking e analisar a quais zonas cada célula pertence é possível representar de maneira simples </w:t>
      </w:r>
      <w:r w:rsidR="0045548B">
        <w:rPr>
          <w:rFonts w:ascii="Arial" w:hAnsi="Arial" w:cs="Arial"/>
          <w:sz w:val="24"/>
          <w:szCs w:val="24"/>
        </w:rPr>
        <w:t xml:space="preserve">este zoneamento (Figura 22). As células com valores de ant-tracking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8 e 0, valores que se correlacionam com elevadas intensidades de fraturamento,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r w:rsidRPr="009C7CB3">
        <w:rPr>
          <w:rFonts w:ascii="Arial" w:hAnsi="Arial" w:cs="Arial"/>
          <w:i/>
          <w:iCs/>
          <w:sz w:val="24"/>
          <w:szCs w:val="24"/>
        </w:rPr>
        <w:t>upscaling</w:t>
      </w:r>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92C72C3"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densidade (RHOB)</w:t>
      </w:r>
      <w:r w:rsidR="00E64060">
        <w:rPr>
          <w:rFonts w:ascii="Arial" w:hAnsi="Arial" w:cs="Arial"/>
          <w:sz w:val="24"/>
          <w:szCs w:val="24"/>
        </w:rPr>
        <w:t xml:space="preserve">, </w:t>
      </w:r>
      <w:r w:rsidR="00C7789F">
        <w:rPr>
          <w:rFonts w:ascii="Arial" w:hAnsi="Arial" w:cs="Arial"/>
          <w:sz w:val="24"/>
          <w:szCs w:val="24"/>
        </w:rPr>
        <w:t>perfil sônico</w:t>
      </w:r>
      <w:r w:rsidR="00E64060">
        <w:rPr>
          <w:rFonts w:ascii="Arial" w:hAnsi="Arial" w:cs="Arial"/>
          <w:sz w:val="24"/>
          <w:szCs w:val="24"/>
        </w:rPr>
        <w:t xml:space="preserve"> (D</w:t>
      </w:r>
      <w:r w:rsidR="00C7789F">
        <w:rPr>
          <w:rFonts w:ascii="Arial" w:hAnsi="Arial" w:cs="Arial"/>
          <w:sz w:val="24"/>
          <w:szCs w:val="24"/>
        </w:rPr>
        <w:t>T</w:t>
      </w:r>
      <w:r w:rsidR="00E64060">
        <w:rPr>
          <w:rFonts w:ascii="Arial" w:hAnsi="Arial" w:cs="Arial"/>
          <w:sz w:val="24"/>
          <w:szCs w:val="24"/>
        </w:rPr>
        <w:t>)</w:t>
      </w:r>
      <w:r w:rsidR="00AE7269">
        <w:rPr>
          <w:rFonts w:ascii="Arial" w:hAnsi="Arial" w:cs="Arial"/>
          <w:sz w:val="24"/>
          <w:szCs w:val="24"/>
        </w:rPr>
        <w:t>,</w:t>
      </w:r>
      <w:r>
        <w:rPr>
          <w:rFonts w:ascii="Arial" w:hAnsi="Arial" w:cs="Arial"/>
          <w:sz w:val="24"/>
          <w:szCs w:val="24"/>
        </w:rPr>
        <w:t xml:space="preserve"> raio gama (GR)</w:t>
      </w:r>
      <w:r w:rsidR="00AE7269">
        <w:rPr>
          <w:rFonts w:ascii="Arial" w:hAnsi="Arial" w:cs="Arial"/>
          <w:sz w:val="24"/>
          <w:szCs w:val="24"/>
        </w:rPr>
        <w:t xml:space="preserve"> e </w:t>
      </w:r>
      <w:r w:rsidR="00AE7269">
        <w:rPr>
          <w:rFonts w:ascii="Arial" w:hAnsi="Arial" w:cs="Arial"/>
          <w:sz w:val="24"/>
          <w:szCs w:val="24"/>
        </w:rPr>
        <w:t>saturação de água (SW)</w:t>
      </w:r>
      <w:bookmarkStart w:id="53" w:name="_GoBack"/>
      <w:bookmarkEnd w:id="53"/>
      <w:r w:rsidR="008C47CA">
        <w:rPr>
          <w:rFonts w:ascii="Arial" w:hAnsi="Arial" w:cs="Arial"/>
          <w:sz w:val="24"/>
          <w:szCs w:val="24"/>
        </w:rPr>
        <w:t xml:space="preserve">. Para todas as propriedades, o método de </w:t>
      </w:r>
      <w:r w:rsidR="008C47CA" w:rsidRPr="009C7CB3">
        <w:rPr>
          <w:rFonts w:ascii="Arial" w:hAnsi="Arial" w:cs="Arial"/>
          <w:i/>
          <w:iCs/>
          <w:sz w:val="24"/>
          <w:szCs w:val="24"/>
        </w:rPr>
        <w:t>upscaling</w:t>
      </w:r>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r w:rsidR="008C47CA" w:rsidRPr="007C69A1">
        <w:rPr>
          <w:rFonts w:ascii="Arial" w:hAnsi="Arial" w:cs="Arial"/>
          <w:i/>
          <w:iCs/>
          <w:sz w:val="24"/>
          <w:szCs w:val="24"/>
        </w:rPr>
        <w:t>Gaussian Random Function Simulation</w:t>
      </w:r>
      <w:r w:rsidR="008C47CA">
        <w:rPr>
          <w:rFonts w:ascii="Arial" w:hAnsi="Arial" w:cs="Arial"/>
          <w:sz w:val="24"/>
          <w:szCs w:val="24"/>
        </w:rPr>
        <w:t xml:space="preserve"> - GRFS)</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r w:rsidRPr="009C7CB3">
        <w:rPr>
          <w:rFonts w:ascii="Arial" w:hAnsi="Arial" w:cs="Arial"/>
          <w:i/>
          <w:iCs/>
          <w:sz w:val="24"/>
          <w:szCs w:val="24"/>
        </w:rPr>
        <w:t>upscaling</w:t>
      </w:r>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w:t>
      </w:r>
      <w:r w:rsidR="0067092D">
        <w:rPr>
          <w:rFonts w:ascii="Arial" w:hAnsi="Arial" w:cs="Arial"/>
          <w:sz w:val="24"/>
          <w:szCs w:val="24"/>
        </w:rPr>
        <w:lastRenderedPageBreak/>
        <w:t xml:space="preserve">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r w:rsidR="0067092D" w:rsidRPr="009C7CB3">
        <w:rPr>
          <w:rFonts w:ascii="Arial" w:hAnsi="Arial" w:cs="Arial"/>
          <w:i/>
          <w:iCs/>
          <w:sz w:val="24"/>
          <w:szCs w:val="24"/>
        </w:rPr>
        <w:t>upscaling</w:t>
      </w:r>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Ao mesmo tempo, o algoritmo de Simulação Gaussiana (GRFS), como esperado, mostrou melhor desempenho ao tentar honrar as distribuições de entrada quando comparado ao algoritmo de Krigagem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8">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Legenda"/>
        <w:rPr>
          <w:rFonts w:ascii="Arial" w:hAnsi="Arial" w:cs="Arial"/>
          <w:b/>
          <w:color w:val="auto"/>
          <w:sz w:val="20"/>
          <w:szCs w:val="20"/>
        </w:rPr>
      </w:pPr>
      <w:bookmarkStart w:id="54"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4"/>
    </w:p>
    <w:p w14:paraId="43ECB6B5" w14:textId="77777777" w:rsidR="004C3F5D" w:rsidRDefault="004C3F5D" w:rsidP="0067092D">
      <w:pPr>
        <w:keepNext/>
        <w:jc w:val="center"/>
      </w:pPr>
      <w:r>
        <w:rPr>
          <w:noProof/>
        </w:rPr>
        <w:lastRenderedPageBreak/>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39">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Legenda"/>
        <w:rPr>
          <w:rFonts w:ascii="Arial" w:hAnsi="Arial" w:cs="Arial"/>
          <w:b/>
          <w:color w:val="auto"/>
          <w:sz w:val="20"/>
          <w:szCs w:val="20"/>
        </w:rPr>
      </w:pPr>
      <w:bookmarkStart w:id="55" w:name="_Toc32229543"/>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bookmarkEnd w:id="55"/>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0">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Legenda"/>
        <w:rPr>
          <w:rFonts w:ascii="Arial" w:hAnsi="Arial" w:cs="Arial"/>
          <w:b/>
          <w:color w:val="auto"/>
          <w:sz w:val="20"/>
          <w:szCs w:val="20"/>
        </w:rPr>
      </w:pPr>
      <w:bookmarkStart w:id="56" w:name="_Toc32229544"/>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gAPI.</w:t>
      </w:r>
      <w:bookmarkEnd w:id="56"/>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1">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Legenda"/>
        <w:rPr>
          <w:rFonts w:ascii="Arial" w:hAnsi="Arial" w:cs="Arial"/>
          <w:b/>
          <w:color w:val="auto"/>
          <w:sz w:val="20"/>
          <w:szCs w:val="20"/>
        </w:rPr>
      </w:pPr>
      <w:bookmarkStart w:id="57" w:name="_Toc32229545"/>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bookmarkEnd w:id="57"/>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2">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Legenda"/>
        <w:rPr>
          <w:rFonts w:ascii="Arial" w:hAnsi="Arial" w:cs="Arial"/>
          <w:b/>
          <w:color w:val="auto"/>
          <w:sz w:val="20"/>
          <w:szCs w:val="20"/>
        </w:rPr>
      </w:pPr>
      <w:bookmarkStart w:id="58" w:name="_Toc32229546"/>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de maneira satisfatória os dados de upscaling, enquanto o método de upscaling acaba por subestimar valores intermediários entre 5 e 10 ohm.m</w:t>
      </w:r>
      <w:bookmarkEnd w:id="58"/>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EC1DD2F" w:rsidR="000604E2" w:rsidRPr="000604E2" w:rsidRDefault="000604E2" w:rsidP="000604E2">
      <w:pPr>
        <w:pStyle w:val="Legenda"/>
        <w:keepNext/>
        <w:jc w:val="center"/>
        <w:rPr>
          <w:rFonts w:ascii="Arial" w:hAnsi="Arial" w:cs="Arial"/>
          <w:b/>
          <w:color w:val="auto"/>
          <w:sz w:val="20"/>
          <w:szCs w:val="20"/>
        </w:rPr>
      </w:pPr>
      <w:bookmarkStart w:id="59"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612500">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59"/>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3">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gamma,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Este efeito se dá devido ao GRFS honrar variações locais em médias e variâncias dos dados, ao contrário das medidas estáticas do modelo de krigagem.</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D5D9BEE"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xml:space="preserve">, e enquanto é observada correlação de apenas -13% entre saturação e resistividade, é observada uma correlação de -50% entre saturação e porosidade (Tabela </w:t>
      </w:r>
      <w:r w:rsidR="00612500">
        <w:rPr>
          <w:rFonts w:ascii="Arial" w:hAnsi="Arial" w:cs="Arial"/>
          <w:sz w:val="24"/>
          <w:szCs w:val="24"/>
        </w:rPr>
        <w:t>7</w:t>
      </w:r>
      <w:r w:rsidR="00816F01">
        <w:rPr>
          <w:rFonts w:ascii="Arial" w:hAnsi="Arial" w:cs="Arial"/>
          <w:sz w:val="24"/>
          <w:szCs w:val="24"/>
        </w:rPr>
        <w:t>).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47EA41DC" w:rsidR="007E199C" w:rsidRPr="007E199C" w:rsidRDefault="007E199C" w:rsidP="007E199C">
      <w:pPr>
        <w:pStyle w:val="Legenda"/>
        <w:keepNext/>
        <w:jc w:val="center"/>
        <w:rPr>
          <w:rFonts w:ascii="Arial" w:hAnsi="Arial" w:cs="Arial"/>
          <w:b/>
          <w:color w:val="auto"/>
          <w:sz w:val="20"/>
          <w:szCs w:val="20"/>
        </w:rPr>
      </w:pPr>
      <w:bookmarkStart w:id="60" w:name="_Toc32229565"/>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612500">
        <w:rPr>
          <w:rFonts w:ascii="Arial" w:hAnsi="Arial" w:cs="Arial"/>
          <w:b/>
          <w:noProof/>
          <w:color w:val="auto"/>
          <w:sz w:val="20"/>
          <w:szCs w:val="20"/>
        </w:rPr>
        <w:t>7</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0"/>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4">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lastRenderedPageBreak/>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5">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Legenda"/>
        <w:jc w:val="center"/>
        <w:rPr>
          <w:rFonts w:ascii="Arial" w:hAnsi="Arial" w:cs="Arial"/>
          <w:b/>
          <w:noProof/>
          <w:color w:val="auto"/>
          <w:sz w:val="20"/>
          <w:szCs w:val="20"/>
        </w:rPr>
      </w:pPr>
      <w:bookmarkStart w:id="61" w:name="_Toc32229547"/>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1"/>
    </w:p>
    <w:p w14:paraId="614ED6DB" w14:textId="1DFADC19" w:rsidR="009E3B01" w:rsidRDefault="009E3B01" w:rsidP="00E56525"/>
    <w:p w14:paraId="7A094512" w14:textId="77777777" w:rsidR="007E199C" w:rsidRDefault="001A285F" w:rsidP="007E199C">
      <w:pPr>
        <w:keepNext/>
      </w:pPr>
      <w:r>
        <w:rPr>
          <w:noProof/>
        </w:rPr>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6">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Legenda"/>
        <w:jc w:val="center"/>
        <w:rPr>
          <w:rFonts w:ascii="Arial" w:hAnsi="Arial" w:cs="Arial"/>
          <w:b/>
          <w:color w:val="auto"/>
          <w:sz w:val="20"/>
        </w:rPr>
      </w:pPr>
      <w:bookmarkStart w:id="62" w:name="_Toc32229548"/>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2"/>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7">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Legenda"/>
        <w:jc w:val="center"/>
        <w:rPr>
          <w:rFonts w:ascii="Arial" w:hAnsi="Arial" w:cs="Arial"/>
          <w:b/>
          <w:color w:val="auto"/>
          <w:sz w:val="20"/>
        </w:rPr>
      </w:pPr>
      <w:bookmarkStart w:id="63"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3"/>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0CDF5DED" w:rsidR="001A285F" w:rsidRPr="00ED2558" w:rsidRDefault="00ED2558" w:rsidP="00ED2558">
      <w:pPr>
        <w:pStyle w:val="Legenda"/>
        <w:jc w:val="center"/>
        <w:rPr>
          <w:rFonts w:ascii="Arial" w:hAnsi="Arial" w:cs="Arial"/>
          <w:b/>
          <w:color w:val="auto"/>
          <w:sz w:val="20"/>
        </w:rPr>
      </w:pPr>
      <w:bookmarkStart w:id="64" w:name="_Toc32229550"/>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w:t>
      </w:r>
      <w:r w:rsidR="00612500">
        <w:rPr>
          <w:rFonts w:ascii="Arial" w:hAnsi="Arial" w:cs="Arial"/>
          <w:b/>
          <w:color w:val="auto"/>
          <w:sz w:val="20"/>
        </w:rPr>
        <w:t>6</w:t>
      </w:r>
      <w:r w:rsidRPr="00ED2558">
        <w:rPr>
          <w:rFonts w:ascii="Arial" w:hAnsi="Arial" w:cs="Arial"/>
          <w:b/>
          <w:color w:val="auto"/>
          <w:sz w:val="20"/>
        </w:rPr>
        <w:t>.</w:t>
      </w:r>
      <w:bookmarkEnd w:id="64"/>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0C973986" w:rsidR="001A285F" w:rsidRDefault="00ED2558" w:rsidP="00ED2558">
      <w:pPr>
        <w:pStyle w:val="Legenda"/>
        <w:jc w:val="center"/>
        <w:rPr>
          <w:rFonts w:ascii="Arial" w:hAnsi="Arial" w:cs="Arial"/>
          <w:b/>
          <w:color w:val="auto"/>
          <w:sz w:val="20"/>
        </w:rPr>
      </w:pPr>
      <w:bookmarkStart w:id="65" w:name="_Toc32229551"/>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w:t>
      </w:r>
      <w:r w:rsidR="00612500">
        <w:rPr>
          <w:rFonts w:ascii="Arial" w:hAnsi="Arial" w:cs="Arial"/>
          <w:b/>
          <w:color w:val="auto"/>
          <w:sz w:val="20"/>
        </w:rPr>
        <w:t>6</w:t>
      </w:r>
      <w:r w:rsidRPr="00ED2558">
        <w:rPr>
          <w:rFonts w:ascii="Arial" w:hAnsi="Arial" w:cs="Arial"/>
          <w:b/>
          <w:color w:val="auto"/>
          <w:sz w:val="20"/>
        </w:rPr>
        <w:t>. Ao mesmo tempo, raras variações são observadas na região sudoeste, com quedas nos valores de Densidade associadas a valores de alta porosidade, alta resistividade e baixa saturação de água.</w:t>
      </w:r>
      <w:bookmarkEnd w:id="65"/>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0">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613A47B0" w:rsidR="00E80110" w:rsidRPr="009739A9" w:rsidRDefault="009739A9" w:rsidP="009739A9">
      <w:pPr>
        <w:pStyle w:val="Legenda"/>
        <w:jc w:val="center"/>
        <w:rPr>
          <w:rFonts w:ascii="Arial" w:hAnsi="Arial" w:cs="Arial"/>
          <w:b/>
          <w:color w:val="000000" w:themeColor="text1"/>
          <w:sz w:val="20"/>
          <w:szCs w:val="20"/>
        </w:rPr>
      </w:pPr>
      <w:bookmarkStart w:id="66" w:name="_Toc32229552"/>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w:t>
      </w:r>
      <w:r w:rsidR="00612500">
        <w:rPr>
          <w:rFonts w:ascii="Arial" w:hAnsi="Arial" w:cs="Arial"/>
          <w:b/>
          <w:color w:val="000000" w:themeColor="text1"/>
          <w:sz w:val="20"/>
          <w:szCs w:val="20"/>
        </w:rPr>
        <w:t>7</w:t>
      </w:r>
      <w:r w:rsidR="00CB2631">
        <w:rPr>
          <w:rFonts w:ascii="Arial" w:hAnsi="Arial" w:cs="Arial"/>
          <w:b/>
          <w:color w:val="000000" w:themeColor="text1"/>
          <w:sz w:val="20"/>
          <w:szCs w:val="20"/>
        </w:rPr>
        <w:t xml:space="preserve">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6"/>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67"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67"/>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1">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68"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68"/>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2">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9"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bookmarkEnd w:id="69"/>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3">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70"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70"/>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xml:space="preserve">),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71"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1"/>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4">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72"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72"/>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5">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73"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73"/>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7">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74"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74"/>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8">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75"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5"/>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76" w:name="_Toc12834451"/>
      <w:r>
        <w:rPr>
          <w:rFonts w:ascii="Arial" w:hAnsi="Arial" w:cs="Arial"/>
          <w:b/>
          <w:sz w:val="24"/>
          <w:szCs w:val="24"/>
        </w:rPr>
        <w:t>Cálculos de Volume</w:t>
      </w:r>
      <w:bookmarkEnd w:id="76"/>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K-Means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77"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77"/>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9">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78"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78"/>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0">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9"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79"/>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1">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0" w:name="_Toc12834452"/>
      <w:bookmarkStart w:id="81" w:name="_Hlk12832429"/>
      <w:r>
        <w:rPr>
          <w:rFonts w:ascii="Arial" w:eastAsia="Times New Roman" w:hAnsi="Arial" w:cs="Arial"/>
          <w:b/>
          <w:sz w:val="28"/>
          <w:szCs w:val="28"/>
        </w:rPr>
        <w:lastRenderedPageBreak/>
        <w:t>CONCLUSÕES</w:t>
      </w:r>
      <w:bookmarkEnd w:id="80"/>
    </w:p>
    <w:bookmarkEnd w:id="81"/>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2" w:name="_Toc12834453"/>
      <w:r>
        <w:rPr>
          <w:rFonts w:ascii="Arial" w:eastAsia="Times New Roman" w:hAnsi="Arial" w:cs="Arial"/>
          <w:b/>
          <w:sz w:val="28"/>
          <w:szCs w:val="28"/>
        </w:rPr>
        <w:t>REFERÊNCIAS BIBLIOGRÁFICAS</w:t>
      </w:r>
      <w:bookmarkEnd w:id="82"/>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Bjorlykke,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Maschio, C., &amp; Schiozer, D. J. 2018. </w:t>
      </w:r>
      <w:r w:rsidRPr="006D5136">
        <w:rPr>
          <w:rFonts w:ascii="Arial" w:eastAsia="Times New Roman" w:hAnsi="Arial" w:cs="Arial"/>
          <w:bCs/>
          <w:lang w:val="en-US"/>
        </w:rPr>
        <w:t>A new methodology to reduce uncertainty of global attributes in naturally fractured reservoirs. Oil &amp; Gas Science and Technology–Revue d’IFP Energies nouvelles,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arcmap/10.3/tools/3d-analyst-toolbox/how-kriging-works.htm. Acesso em: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Fourno, A., Noetinger, B., &amp; Schiozer,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Hengl,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Kuroda, M. C., Vidal, A. C., Leite, E. P., &amp; Drummond, R. D. 2012. Electrofacies characterization using self-organizing maps. Revista Brasileira de Geofísica.</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Lyons, W. C., &amp; Plisga,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Melani, L., Vidal, A. C., Filho, I. M., &amp; Schuab,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Viroli,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Society of Petroleum Engineers Journal,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2"/>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65B6B" w14:textId="77777777" w:rsidR="002C3571" w:rsidRDefault="002C3571" w:rsidP="00DD5D20">
      <w:pPr>
        <w:spacing w:after="0" w:line="240" w:lineRule="auto"/>
      </w:pPr>
      <w:r>
        <w:separator/>
      </w:r>
    </w:p>
  </w:endnote>
  <w:endnote w:type="continuationSeparator" w:id="0">
    <w:p w14:paraId="5C71FAF6" w14:textId="77777777" w:rsidR="002C3571" w:rsidRDefault="002C3571"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4D7197" w:rsidRDefault="004D7197">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4D7197" w:rsidRDefault="004D719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4736E" w14:textId="77777777" w:rsidR="002C3571" w:rsidRDefault="002C3571" w:rsidP="00DD5D20">
      <w:pPr>
        <w:spacing w:after="0" w:line="240" w:lineRule="auto"/>
      </w:pPr>
      <w:r>
        <w:separator/>
      </w:r>
    </w:p>
  </w:footnote>
  <w:footnote w:type="continuationSeparator" w:id="0">
    <w:p w14:paraId="59C673EE" w14:textId="77777777" w:rsidR="002C3571" w:rsidRDefault="002C3571"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427D7"/>
    <w:rsid w:val="00043CC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D23BF"/>
    <w:rsid w:val="000F2998"/>
    <w:rsid w:val="000F2E35"/>
    <w:rsid w:val="000F42CD"/>
    <w:rsid w:val="000F54C8"/>
    <w:rsid w:val="000F5B16"/>
    <w:rsid w:val="000F7271"/>
    <w:rsid w:val="0011005A"/>
    <w:rsid w:val="001160C7"/>
    <w:rsid w:val="0011650E"/>
    <w:rsid w:val="00126D99"/>
    <w:rsid w:val="001332DB"/>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571"/>
    <w:rsid w:val="002C375A"/>
    <w:rsid w:val="002C5B2E"/>
    <w:rsid w:val="002C5D58"/>
    <w:rsid w:val="002C659A"/>
    <w:rsid w:val="002D150E"/>
    <w:rsid w:val="002D6D65"/>
    <w:rsid w:val="002E6185"/>
    <w:rsid w:val="002F63EE"/>
    <w:rsid w:val="00322AB7"/>
    <w:rsid w:val="0032750C"/>
    <w:rsid w:val="00352561"/>
    <w:rsid w:val="00354126"/>
    <w:rsid w:val="003625E3"/>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76CB"/>
    <w:rsid w:val="00467928"/>
    <w:rsid w:val="00476EA3"/>
    <w:rsid w:val="00477913"/>
    <w:rsid w:val="004801FF"/>
    <w:rsid w:val="00482FEB"/>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2A8"/>
    <w:rsid w:val="00517016"/>
    <w:rsid w:val="005341BA"/>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C1BE4"/>
    <w:rsid w:val="008C47CA"/>
    <w:rsid w:val="008D682F"/>
    <w:rsid w:val="008E06FA"/>
    <w:rsid w:val="008F04A0"/>
    <w:rsid w:val="008F0D6D"/>
    <w:rsid w:val="00906351"/>
    <w:rsid w:val="00922D49"/>
    <w:rsid w:val="00942EBE"/>
    <w:rsid w:val="00943772"/>
    <w:rsid w:val="00952EDF"/>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505E2"/>
    <w:rsid w:val="00A53748"/>
    <w:rsid w:val="00A55266"/>
    <w:rsid w:val="00A62B7C"/>
    <w:rsid w:val="00A63D40"/>
    <w:rsid w:val="00A6683E"/>
    <w:rsid w:val="00A7312A"/>
    <w:rsid w:val="00A8669E"/>
    <w:rsid w:val="00A90F14"/>
    <w:rsid w:val="00A97B61"/>
    <w:rsid w:val="00AA1FEC"/>
    <w:rsid w:val="00AA6B30"/>
    <w:rsid w:val="00AB4A29"/>
    <w:rsid w:val="00AC5277"/>
    <w:rsid w:val="00AD065F"/>
    <w:rsid w:val="00AE11F1"/>
    <w:rsid w:val="00AE27C9"/>
    <w:rsid w:val="00AE6BF6"/>
    <w:rsid w:val="00AE7269"/>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4FDB"/>
    <w:rsid w:val="00C3373D"/>
    <w:rsid w:val="00C33A86"/>
    <w:rsid w:val="00C35ABC"/>
    <w:rsid w:val="00C4103C"/>
    <w:rsid w:val="00C47C0E"/>
    <w:rsid w:val="00C50513"/>
    <w:rsid w:val="00C510A6"/>
    <w:rsid w:val="00C575B6"/>
    <w:rsid w:val="00C64869"/>
    <w:rsid w:val="00C64DFF"/>
    <w:rsid w:val="00C7789F"/>
    <w:rsid w:val="00C8395E"/>
    <w:rsid w:val="00C913B7"/>
    <w:rsid w:val="00C94D5B"/>
    <w:rsid w:val="00C956B2"/>
    <w:rsid w:val="00C968BB"/>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D5A6D"/>
    <w:rsid w:val="00DD5D20"/>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6D88"/>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0131C-E22B-4ECA-9E13-C2EFB2E91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7631</TotalTime>
  <Pages>80</Pages>
  <Words>17635</Words>
  <Characters>100521</Characters>
  <Application>Microsoft Office Word</Application>
  <DocSecurity>0</DocSecurity>
  <Lines>837</Lines>
  <Paragraphs>235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cp:lastModifiedBy>
  <cp:revision>87</cp:revision>
  <dcterms:created xsi:type="dcterms:W3CDTF">2019-05-19T21:02:00Z</dcterms:created>
  <dcterms:modified xsi:type="dcterms:W3CDTF">2020-02-11T00:50:00Z</dcterms:modified>
</cp:coreProperties>
</file>